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>
      <w:pPr>
        <w:ind w:left="-199" w:leftChars="-95" w:right="-313" w:rightChars="-149" w:firstLine="0" w:firstLineChars="0"/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河南省农业科学院202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年度博士后招收计划</w:t>
      </w:r>
    </w:p>
    <w:tbl>
      <w:tblPr>
        <w:tblStyle w:val="3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488"/>
        <w:gridCol w:w="4902"/>
        <w:gridCol w:w="870"/>
        <w:gridCol w:w="468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招收单位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拟招收岗位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招收数量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粮食作物研究所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玉米地方品种基因资源抢救性保护与发掘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水稻重要形状关键基因的克隆与功能解析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尹海庆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复合群体对玉米生理生态效应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赵霞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玉米氮高效利用功能基因组分析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烟草研究所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烟草抗病抗逆相关机理研究及应用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李淑君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葡萄分子育种与栽培技术研究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尚泓泉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叶类蔬菜抗病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张晓伟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植物营养与资源环境研究所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施肥模式对潮土氮素转化与蓄供的影响机制研究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黄绍敏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花生养分高效管理技术研究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平菇发酵料栽培关键技术与机理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孔维丽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香菇菌丝利用培养料的机理研究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孔维丽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植物保护研究所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草地贪夜蛾寄主选择的化学通讯机制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封洪强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农业质量标准与检测技术研究所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代谢组学和转录组学联合解析调节剂对草莓初级代谢的调控机制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吴绪金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农副产品加工研究中心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芝麻香油呈味机理研究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基于油料饼粕的呈味肽类物质解析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黄纪念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蛋白与小分子活性物质的交互作用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张康逸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淀粉的改性研究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张康逸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芝麻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芝麻种质资源优异基因挖掘及新种质创制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张海洋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红花类黄酮活性成分生物合成及调控机制的研究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梁慧珍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红花查尔酮碳糖苷类代谢物生物合成关键基因的挖掘及鉴定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梁慧珍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芝麻泛基因组分析与抗枯萎病基因进化研究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苗红梅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芝麻抗裂蒴性状精准鉴定与相关基因发掘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苗红梅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河南省动物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免疫学实验室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病毒编码的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miRNA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调控马立克病病毒的致病及致瘤分子机制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花生黄曲霉抗性分子机制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花生分子育种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小麦品质性状重要基因挖掘与新品种选育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雷振生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大豆产量相关性状遗传基础解析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卢为国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作物重要性状基因挖掘与利用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卢为国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神农种业实验室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小麦氮磷高效种质资源筛选与优异基因挖掘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许为钢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具有分子生物学及相关领域研究背景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小麦面筋品质关键基因克隆与利用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雷振生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具有分子生物学及相关领域研究背景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芝麻重要性状遗传解析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张海洋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作物遗传育种及相关领域研究背景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玉米优质高产抗逆机收基因挖掘与机制解析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具有分子生物学及相关领域研究背景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DNiMDc3ZDNkMzg2YTJjYWY4NTdmZDRmMzI2MmYifQ=="/>
  </w:docVars>
  <w:rsids>
    <w:rsidRoot w:val="450560B2"/>
    <w:rsid w:val="15662C1D"/>
    <w:rsid w:val="19F47291"/>
    <w:rsid w:val="450560B2"/>
    <w:rsid w:val="51260FE7"/>
    <w:rsid w:val="6CB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889</Characters>
  <Lines>0</Lines>
  <Paragraphs>0</Paragraphs>
  <TotalTime>1</TotalTime>
  <ScaleCrop>false</ScaleCrop>
  <LinksUpToDate>false</LinksUpToDate>
  <CharactersWithSpaces>889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2022-07-25T01:19:00Z</dcterms:created>
  <dc:creator>yinwuchina</dc:creator>
  <cp:lastModifiedBy>yinwuchina</cp:lastModifiedBy>
  <dcterms:modified xsi:type="dcterms:W3CDTF">2022-07-26T08:20:56Z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C5A2C1364B13428A939B00175F603572</vt:lpwstr>
  </property>
</Properties>
</file>